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5FC" w14:textId="77777777" w:rsidR="00143492" w:rsidRPr="00143492" w:rsidRDefault="00143492" w:rsidP="00143492">
      <w:pPr>
        <w:spacing w:after="0"/>
        <w:jc w:val="right"/>
        <w:rPr>
          <w:rFonts w:ascii="Times New Roman" w:eastAsia="Times New Roman" w:hAnsi="Times New Roman" w:cs="Times New Roman"/>
          <w:b/>
          <w:bCs/>
          <w:sz w:val="24"/>
          <w:szCs w:val="24"/>
        </w:rPr>
      </w:pPr>
      <w:r w:rsidRPr="00143492">
        <w:rPr>
          <w:rFonts w:ascii="Times New Roman" w:eastAsia="Times New Roman" w:hAnsi="Times New Roman" w:cs="Times New Roman"/>
          <w:b/>
          <w:bCs/>
          <w:sz w:val="24"/>
          <w:szCs w:val="24"/>
        </w:rPr>
        <w:t>УТВЕРЖДЕНА</w:t>
      </w:r>
    </w:p>
    <w:p w14:paraId="5A4FDE9C" w14:textId="77777777" w:rsidR="00143492" w:rsidRPr="00143492" w:rsidRDefault="00143492" w:rsidP="00143492">
      <w:pPr>
        <w:spacing w:after="0"/>
        <w:jc w:val="right"/>
        <w:rPr>
          <w:rFonts w:ascii="Times New Roman" w:eastAsia="Times New Roman" w:hAnsi="Times New Roman" w:cs="Times New Roman"/>
          <w:b/>
          <w:bCs/>
          <w:i/>
          <w:iCs/>
          <w:sz w:val="20"/>
          <w:szCs w:val="20"/>
        </w:rPr>
      </w:pPr>
      <w:r w:rsidRPr="00143492">
        <w:rPr>
          <w:rFonts w:ascii="Times New Roman" w:eastAsia="Times New Roman" w:hAnsi="Times New Roman" w:cs="Times New Roman"/>
          <w:b/>
          <w:bCs/>
          <w:sz w:val="24"/>
          <w:szCs w:val="24"/>
        </w:rPr>
        <w:t>Генеральным директором</w:t>
      </w:r>
    </w:p>
    <w:p w14:paraId="451BED40" w14:textId="77777777" w:rsidR="00143492" w:rsidRPr="00143492" w:rsidRDefault="00143492" w:rsidP="00143492">
      <w:pPr>
        <w:spacing w:after="0"/>
        <w:jc w:val="right"/>
        <w:rPr>
          <w:rFonts w:ascii="Times New Roman" w:eastAsia="Times New Roman" w:hAnsi="Times New Roman" w:cs="Times New Roman"/>
          <w:b/>
          <w:bCs/>
          <w:sz w:val="24"/>
          <w:szCs w:val="24"/>
        </w:rPr>
      </w:pPr>
      <w:r w:rsidRPr="00143492">
        <w:rPr>
          <w:rFonts w:ascii="Times New Roman" w:eastAsia="Times New Roman" w:hAnsi="Times New Roman" w:cs="Times New Roman"/>
          <w:b/>
          <w:bCs/>
          <w:sz w:val="24"/>
          <w:szCs w:val="24"/>
        </w:rPr>
        <w:t>АО УК «РАМАКО»</w:t>
      </w:r>
    </w:p>
    <w:p w14:paraId="5B697D46" w14:textId="0B0C5A02" w:rsidR="00143492" w:rsidRPr="00143492" w:rsidRDefault="00143492" w:rsidP="00143492">
      <w:pPr>
        <w:spacing w:after="0"/>
        <w:jc w:val="right"/>
        <w:rPr>
          <w:rFonts w:ascii="Times New Roman" w:eastAsia="Times New Roman" w:hAnsi="Times New Roman" w:cs="Times New Roman"/>
          <w:b/>
          <w:bCs/>
          <w:sz w:val="24"/>
          <w:szCs w:val="24"/>
        </w:rPr>
      </w:pPr>
      <w:r w:rsidRPr="00143492">
        <w:rPr>
          <w:rFonts w:ascii="Times New Roman" w:eastAsia="Times New Roman" w:hAnsi="Times New Roman" w:cs="Times New Roman"/>
          <w:b/>
          <w:bCs/>
          <w:sz w:val="24"/>
          <w:szCs w:val="24"/>
        </w:rPr>
        <w:t xml:space="preserve">Приказ № </w:t>
      </w:r>
      <w:r w:rsidR="00C85F80">
        <w:rPr>
          <w:rFonts w:ascii="Times New Roman" w:eastAsia="Times New Roman" w:hAnsi="Times New Roman" w:cs="Times New Roman"/>
          <w:b/>
          <w:bCs/>
          <w:sz w:val="24"/>
          <w:szCs w:val="24"/>
        </w:rPr>
        <w:t xml:space="preserve">2025/08/13 </w:t>
      </w:r>
      <w:r w:rsidRPr="00143492">
        <w:rPr>
          <w:rFonts w:ascii="Times New Roman" w:eastAsia="Times New Roman" w:hAnsi="Times New Roman" w:cs="Times New Roman"/>
          <w:b/>
          <w:bCs/>
          <w:sz w:val="24"/>
          <w:szCs w:val="24"/>
        </w:rPr>
        <w:t xml:space="preserve">от </w:t>
      </w:r>
      <w:r w:rsidR="00D37247">
        <w:rPr>
          <w:rFonts w:ascii="Times New Roman" w:eastAsia="Times New Roman" w:hAnsi="Times New Roman" w:cs="Times New Roman"/>
          <w:b/>
          <w:bCs/>
          <w:sz w:val="24"/>
          <w:szCs w:val="24"/>
        </w:rPr>
        <w:t>13.08</w:t>
      </w:r>
      <w:r w:rsidRPr="00143492">
        <w:rPr>
          <w:rFonts w:ascii="Times New Roman" w:eastAsia="Times New Roman" w:hAnsi="Times New Roman" w:cs="Times New Roman"/>
          <w:b/>
          <w:bCs/>
          <w:sz w:val="24"/>
          <w:szCs w:val="24"/>
        </w:rPr>
        <w:t>.20</w:t>
      </w:r>
      <w:r w:rsidR="00D37247">
        <w:rPr>
          <w:rFonts w:ascii="Times New Roman" w:eastAsia="Times New Roman" w:hAnsi="Times New Roman" w:cs="Times New Roman"/>
          <w:b/>
          <w:bCs/>
          <w:sz w:val="24"/>
          <w:szCs w:val="24"/>
        </w:rPr>
        <w:t>25</w:t>
      </w:r>
      <w:r w:rsidRPr="00143492">
        <w:rPr>
          <w:rFonts w:ascii="Times New Roman" w:eastAsia="Times New Roman" w:hAnsi="Times New Roman" w:cs="Times New Roman"/>
          <w:b/>
          <w:bCs/>
          <w:sz w:val="24"/>
          <w:szCs w:val="24"/>
        </w:rPr>
        <w:t xml:space="preserve">г. </w:t>
      </w:r>
    </w:p>
    <w:p w14:paraId="78F7DC24" w14:textId="77777777" w:rsidR="00143492" w:rsidRPr="00143492" w:rsidRDefault="00143492" w:rsidP="00143492">
      <w:pPr>
        <w:spacing w:after="0" w:line="300" w:lineRule="exact"/>
        <w:jc w:val="right"/>
        <w:rPr>
          <w:rFonts w:ascii="Times New Roman" w:eastAsia="Times New Roman" w:hAnsi="Times New Roman" w:cs="Times New Roman"/>
          <w:b/>
          <w:bCs/>
          <w:sz w:val="24"/>
          <w:szCs w:val="24"/>
        </w:rPr>
      </w:pPr>
      <w:r w:rsidRPr="00143492">
        <w:rPr>
          <w:rFonts w:ascii="Times New Roman" w:eastAsia="Times New Roman" w:hAnsi="Times New Roman" w:cs="Times New Roman"/>
          <w:b/>
          <w:bCs/>
          <w:sz w:val="24"/>
          <w:szCs w:val="24"/>
        </w:rPr>
        <w:t xml:space="preserve">Вступает в силу </w:t>
      </w:r>
      <w:r w:rsidR="00D37247">
        <w:rPr>
          <w:rFonts w:ascii="Times New Roman" w:eastAsia="Times New Roman" w:hAnsi="Times New Roman" w:cs="Times New Roman"/>
          <w:b/>
          <w:bCs/>
          <w:sz w:val="24"/>
          <w:szCs w:val="24"/>
        </w:rPr>
        <w:t>25.08</w:t>
      </w:r>
      <w:r w:rsidRPr="00143492">
        <w:rPr>
          <w:rFonts w:ascii="Times New Roman" w:eastAsia="Times New Roman" w:hAnsi="Times New Roman" w:cs="Times New Roman"/>
          <w:b/>
          <w:bCs/>
          <w:sz w:val="24"/>
          <w:szCs w:val="24"/>
        </w:rPr>
        <w:t>.20</w:t>
      </w:r>
      <w:r w:rsidR="00D37247">
        <w:rPr>
          <w:rFonts w:ascii="Times New Roman" w:eastAsia="Times New Roman" w:hAnsi="Times New Roman" w:cs="Times New Roman"/>
          <w:b/>
          <w:bCs/>
          <w:sz w:val="24"/>
          <w:szCs w:val="24"/>
        </w:rPr>
        <w:t>25</w:t>
      </w:r>
      <w:r w:rsidRPr="00143492">
        <w:rPr>
          <w:rFonts w:ascii="Times New Roman" w:eastAsia="Times New Roman" w:hAnsi="Times New Roman" w:cs="Times New Roman"/>
          <w:b/>
          <w:bCs/>
          <w:sz w:val="24"/>
          <w:szCs w:val="24"/>
        </w:rPr>
        <w:t>г.</w:t>
      </w:r>
    </w:p>
    <w:p w14:paraId="57C538A1" w14:textId="77777777" w:rsidR="00143492" w:rsidRPr="00143492" w:rsidRDefault="00143492" w:rsidP="00143492">
      <w:pPr>
        <w:spacing w:after="0" w:line="240" w:lineRule="auto"/>
        <w:jc w:val="center"/>
        <w:rPr>
          <w:rFonts w:ascii="Times New Roman" w:eastAsia="Times New Roman" w:hAnsi="Times New Roman" w:cs="Times New Roman"/>
          <w:b/>
          <w:bCs/>
          <w:iCs/>
          <w:sz w:val="24"/>
          <w:szCs w:val="24"/>
          <w:lang w:eastAsia="ru-RU"/>
        </w:rPr>
      </w:pPr>
    </w:p>
    <w:p w14:paraId="441A5387"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4103301E"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259D314"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B037A7C"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0F7EC72F"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0DAC0B47"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1C3954EC"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5E7BA911"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4911C804"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4A332F4C"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8AA5B64"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A80CA92"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9E80235"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44A96373"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1591576"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41990BCF"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766EA07"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22CE29D"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7EFE733A"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0297823E"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096C35E8"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175CAD4C"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597106ED"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6023AA3E" w14:textId="77777777" w:rsidR="00143492" w:rsidRPr="00143492" w:rsidRDefault="00143492" w:rsidP="00143492">
      <w:pPr>
        <w:spacing w:before="24" w:after="0" w:line="240" w:lineRule="auto"/>
        <w:ind w:right="19"/>
        <w:jc w:val="center"/>
        <w:rPr>
          <w:rFonts w:ascii="Futuris" w:eastAsia="Tahoma" w:hAnsi="Futuris" w:cs="Times New Roman"/>
          <w:sz w:val="36"/>
          <w:szCs w:val="36"/>
          <w:lang w:eastAsia="ru-RU"/>
        </w:rPr>
      </w:pPr>
      <w:r w:rsidRPr="00143492">
        <w:rPr>
          <w:rFonts w:ascii="Futuris" w:eastAsia="Tahoma" w:hAnsi="Futuris" w:cs="Times New Roman"/>
          <w:b/>
          <w:bCs/>
          <w:sz w:val="36"/>
          <w:szCs w:val="36"/>
          <w:lang w:eastAsia="ru-RU"/>
        </w:rPr>
        <w:t>Методика оценки стоимости Активов</w:t>
      </w:r>
    </w:p>
    <w:p w14:paraId="53470382" w14:textId="77777777" w:rsidR="00143492" w:rsidRPr="00143492" w:rsidRDefault="00143492" w:rsidP="00143492">
      <w:pPr>
        <w:spacing w:after="0" w:line="240" w:lineRule="auto"/>
        <w:rPr>
          <w:rFonts w:ascii="Times New Roman" w:eastAsia="Times New Roman" w:hAnsi="Times New Roman" w:cs="Times New Roman"/>
          <w:sz w:val="36"/>
          <w:szCs w:val="36"/>
          <w:lang w:eastAsia="ru-RU"/>
        </w:rPr>
      </w:pPr>
    </w:p>
    <w:p w14:paraId="665E7D26"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51F3FC5C"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1825424C"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686D0E29"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AC52FB5"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9C41369"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2298920"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7E7E4C44"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4E40BD05"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4A04D72"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4C7E615"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73D27B08"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6CC6E614"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57576FE"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662AD24"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29900C4"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2BF2C01"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6B08032B"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D6E7C89"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02AC6D9D"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2BF5CB58"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0F86C85D"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40C156A6"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5426075A"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51F4FADC"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E48AABB"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04CA957D"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6AD58FCF"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1DFAE945" w14:textId="77777777" w:rsidR="00143492" w:rsidRPr="00143492" w:rsidRDefault="00143492" w:rsidP="00143492">
      <w:pPr>
        <w:spacing w:after="0" w:line="240" w:lineRule="auto"/>
        <w:rPr>
          <w:rFonts w:ascii="Times New Roman" w:eastAsia="Times New Roman" w:hAnsi="Times New Roman" w:cs="Times New Roman"/>
          <w:sz w:val="20"/>
          <w:szCs w:val="20"/>
          <w:lang w:eastAsia="ru-RU"/>
        </w:rPr>
      </w:pPr>
    </w:p>
    <w:p w14:paraId="3DD3B34A" w14:textId="77777777" w:rsidR="00143492" w:rsidRPr="00143492" w:rsidRDefault="00143492" w:rsidP="00143492">
      <w:pPr>
        <w:spacing w:before="24" w:after="0" w:line="240" w:lineRule="auto"/>
        <w:ind w:right="19"/>
        <w:jc w:val="center"/>
        <w:rPr>
          <w:rFonts w:ascii="Futuris" w:eastAsia="Tahoma" w:hAnsi="Futuris" w:cs="Times New Roman"/>
          <w:szCs w:val="20"/>
          <w:lang w:eastAsia="ru-RU"/>
        </w:rPr>
      </w:pPr>
      <w:r w:rsidRPr="00143492">
        <w:rPr>
          <w:rFonts w:ascii="Futuris" w:eastAsia="Tahoma" w:hAnsi="Futuris" w:cs="Times New Roman"/>
          <w:b/>
          <w:bCs/>
          <w:szCs w:val="20"/>
          <w:lang w:eastAsia="ru-RU"/>
        </w:rPr>
        <w:t>Методика оценки стоимости Активов</w:t>
      </w:r>
    </w:p>
    <w:p w14:paraId="7D91F2B3" w14:textId="77777777" w:rsidR="00143492" w:rsidRPr="00143492" w:rsidRDefault="00143492" w:rsidP="00143492">
      <w:pPr>
        <w:numPr>
          <w:ilvl w:val="0"/>
          <w:numId w:val="1"/>
        </w:numPr>
        <w:tabs>
          <w:tab w:val="left" w:pos="422"/>
        </w:tabs>
        <w:spacing w:before="120" w:after="0" w:line="240" w:lineRule="exact"/>
        <w:ind w:left="422" w:right="29"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Настоящая Методика оценки стоимости Активов (далее – «Методика») является единой для всех Клиентов в части оценки стоимости Активов при указании их оценочной стоимости в Отч</w:t>
      </w:r>
      <w:r w:rsidRPr="00143492">
        <w:rPr>
          <w:rFonts w:ascii="Futuris" w:eastAsia="Tahoma" w:hAnsi="Futuris" w:cs="Cambria"/>
          <w:sz w:val="20"/>
          <w:szCs w:val="20"/>
          <w:lang w:eastAsia="ru-RU"/>
        </w:rPr>
        <w:t>е</w:t>
      </w:r>
      <w:r w:rsidRPr="00143492">
        <w:rPr>
          <w:rFonts w:ascii="Futuris" w:eastAsia="Tahoma" w:hAnsi="Futuris" w:cs="Times New Roman"/>
          <w:sz w:val="20"/>
          <w:szCs w:val="20"/>
          <w:lang w:eastAsia="ru-RU"/>
        </w:rPr>
        <w:t>те о деятельности Управляющего по управлению Активами.</w:t>
      </w:r>
    </w:p>
    <w:p w14:paraId="6318AE8B" w14:textId="77777777" w:rsidR="00143492" w:rsidRPr="00143492" w:rsidRDefault="00143492" w:rsidP="00143492">
      <w:pPr>
        <w:numPr>
          <w:ilvl w:val="0"/>
          <w:numId w:val="1"/>
        </w:numPr>
        <w:tabs>
          <w:tab w:val="left" w:pos="422"/>
        </w:tabs>
        <w:spacing w:before="125" w:after="0" w:line="240" w:lineRule="exact"/>
        <w:ind w:left="422" w:right="29"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Методика используется для определения оценочной стоимости имущества передаваемого в доверительное управление и оценочной стоимости активов для целей определения вознаграждения Управляющего.</w:t>
      </w:r>
    </w:p>
    <w:p w14:paraId="44ECEB87" w14:textId="77777777" w:rsidR="00143492" w:rsidRPr="00143492" w:rsidRDefault="00143492" w:rsidP="00143492">
      <w:pPr>
        <w:numPr>
          <w:ilvl w:val="0"/>
          <w:numId w:val="1"/>
        </w:numPr>
        <w:tabs>
          <w:tab w:val="left" w:pos="422"/>
        </w:tabs>
        <w:spacing w:before="120" w:after="0" w:line="240" w:lineRule="exact"/>
        <w:ind w:left="422" w:right="38"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Рыночная стоимость Активов рассчитывается исходя из составляющих Активы суммы денежных средств на счетах и депозитах в кредитных организациях, рыночной стоимости ценных бумаг, а также суммы дебиторской задолженности.</w:t>
      </w:r>
    </w:p>
    <w:p w14:paraId="50147C80" w14:textId="77777777" w:rsidR="00143492" w:rsidRPr="00143492" w:rsidRDefault="00143492" w:rsidP="00143492">
      <w:pPr>
        <w:numPr>
          <w:ilvl w:val="0"/>
          <w:numId w:val="1"/>
        </w:numPr>
        <w:tabs>
          <w:tab w:val="left" w:pos="422"/>
        </w:tabs>
        <w:spacing w:before="120" w:after="0" w:line="240" w:lineRule="exact"/>
        <w:ind w:left="422" w:right="38"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Рыночная стоимость ценных бумаг определяется исходя из количества ценных бумаг в инвестиционном портфеле и оценочной стоимости одной ценной бумаги, если иное не предусмотрено Методикой.</w:t>
      </w:r>
    </w:p>
    <w:p w14:paraId="3CF907E7" w14:textId="77777777" w:rsidR="00143492" w:rsidRPr="00143492" w:rsidRDefault="00143492" w:rsidP="00143492">
      <w:pPr>
        <w:numPr>
          <w:ilvl w:val="0"/>
          <w:numId w:val="1"/>
        </w:numPr>
        <w:tabs>
          <w:tab w:val="left" w:pos="422"/>
        </w:tabs>
        <w:spacing w:before="120" w:after="0" w:line="240" w:lineRule="exact"/>
        <w:ind w:left="422" w:right="29"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ценных бумаг, допущенных к торгам российским организатором торговли на рынке ценных бумаг, за исключением облигаций внешних облигационных займов Российской Федерации, признается равной их рыночной цене, определенной этим организатором торговли на рынке ценных бумаг в порядке, установленном приказом ФСФР от 09.11.2010 г. N 10-65/</w:t>
      </w:r>
      <w:proofErr w:type="spellStart"/>
      <w:r w:rsidRPr="00143492">
        <w:rPr>
          <w:rFonts w:ascii="Futuris" w:eastAsia="Tahoma" w:hAnsi="Futuris" w:cs="Times New Roman"/>
          <w:sz w:val="20"/>
          <w:szCs w:val="20"/>
          <w:lang w:eastAsia="ru-RU"/>
        </w:rPr>
        <w:t>пз</w:t>
      </w:r>
      <w:proofErr w:type="spellEnd"/>
      <w:r w:rsidRPr="00143492">
        <w:rPr>
          <w:rFonts w:ascii="Futuris" w:eastAsia="Tahoma" w:hAnsi="Futuris" w:cs="Times New Roman"/>
          <w:sz w:val="20"/>
          <w:szCs w:val="20"/>
          <w:lang w:eastAsia="ru-RU"/>
        </w:rPr>
        <w:t>-н</w:t>
      </w:r>
      <w:r w:rsidRPr="00143492">
        <w:rPr>
          <w:rFonts w:ascii="Futuris" w:eastAsia="Tahoma" w:hAnsi="Futuris" w:cs="Times New Roman"/>
          <w:sz w:val="20"/>
          <w:szCs w:val="20"/>
          <w:vertAlign w:val="superscript"/>
          <w:lang w:eastAsia="ru-RU"/>
        </w:rPr>
        <w:footnoteReference w:id="1"/>
      </w:r>
      <w:r w:rsidRPr="00143492">
        <w:rPr>
          <w:rFonts w:ascii="Futuris" w:eastAsia="Tahoma" w:hAnsi="Futuris" w:cs="Times New Roman"/>
          <w:sz w:val="20"/>
          <w:szCs w:val="20"/>
          <w:lang w:eastAsia="ru-RU"/>
        </w:rPr>
        <w:t>. В случае, если рыночная цена указанных ценных бумаг не определена, в том числе если на дату расчета стоимости активов российским организатором торговли на рынке ценных бумаг не проводились торги, а также, если ценные бумаги, приобретенные на торгах у российского организатора торговли на рынке ценных бумаг, исключены из списка ценных бумаг, допущенных к торгам, оценочная стоимость указанных ценных бумаг определяется в следующем порядке:</w:t>
      </w:r>
    </w:p>
    <w:p w14:paraId="38B0F4BF" w14:textId="77777777" w:rsidR="00143492" w:rsidRPr="00143492" w:rsidRDefault="00143492" w:rsidP="00143492">
      <w:pPr>
        <w:numPr>
          <w:ilvl w:val="0"/>
          <w:numId w:val="2"/>
        </w:numPr>
        <w:tabs>
          <w:tab w:val="left" w:pos="557"/>
        </w:tabs>
        <w:spacing w:before="125" w:after="0" w:line="240" w:lineRule="exact"/>
        <w:ind w:left="557" w:hanging="131"/>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инвестиционного пая паевого инвестиционного фонда и ипотечного сертификата участия признается равной их расчетной стоимости на дату определения стоимости Активов, а если на эту дату расчетная стоимость инвестиционного пая или ипотечного сертификата участия не определялась, - на последнюю дату ее расчета, предшествующую дате определения стоимости Активов;</w:t>
      </w:r>
    </w:p>
    <w:p w14:paraId="77AA1654" w14:textId="77777777" w:rsidR="00143492" w:rsidRPr="00143492" w:rsidRDefault="00143492" w:rsidP="00143492">
      <w:pPr>
        <w:numPr>
          <w:ilvl w:val="0"/>
          <w:numId w:val="2"/>
        </w:numPr>
        <w:tabs>
          <w:tab w:val="left" w:pos="557"/>
        </w:tabs>
        <w:spacing w:before="125" w:after="0" w:line="240" w:lineRule="exact"/>
        <w:ind w:left="557" w:hanging="131"/>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облигаций, срок погашения которых наступил, признается равной:</w:t>
      </w:r>
    </w:p>
    <w:p w14:paraId="532797A4" w14:textId="77777777" w:rsidR="00143492" w:rsidRPr="00143492" w:rsidRDefault="00143492" w:rsidP="00143492">
      <w:pPr>
        <w:numPr>
          <w:ilvl w:val="0"/>
          <w:numId w:val="3"/>
        </w:numPr>
        <w:tabs>
          <w:tab w:val="left" w:pos="730"/>
        </w:tabs>
        <w:spacing w:before="149" w:after="0" w:line="240" w:lineRule="auto"/>
        <w:ind w:left="571"/>
        <w:rPr>
          <w:rFonts w:ascii="Futuris" w:eastAsia="Tahoma" w:hAnsi="Futuris" w:cs="Times New Roman"/>
          <w:sz w:val="20"/>
          <w:szCs w:val="20"/>
          <w:lang w:eastAsia="ru-RU"/>
        </w:rPr>
      </w:pPr>
      <w:r w:rsidRPr="00143492">
        <w:rPr>
          <w:rFonts w:ascii="Futuris" w:eastAsia="Tahoma" w:hAnsi="Futuris" w:cs="Times New Roman"/>
          <w:sz w:val="20"/>
          <w:szCs w:val="20"/>
          <w:lang w:eastAsia="ru-RU"/>
        </w:rPr>
        <w:t>номинальной стоимости облигаций - до момента поступления денежных средств в счет их погашения в состав Активов;</w:t>
      </w:r>
    </w:p>
    <w:p w14:paraId="30F1439F" w14:textId="77777777" w:rsidR="00143492" w:rsidRPr="00143492" w:rsidRDefault="00143492" w:rsidP="00143492">
      <w:pPr>
        <w:numPr>
          <w:ilvl w:val="0"/>
          <w:numId w:val="3"/>
        </w:numPr>
        <w:tabs>
          <w:tab w:val="left" w:pos="730"/>
        </w:tabs>
        <w:spacing w:before="149" w:after="0" w:line="240" w:lineRule="auto"/>
        <w:ind w:left="571"/>
        <w:rPr>
          <w:rFonts w:ascii="Futuris" w:eastAsia="Tahoma" w:hAnsi="Futuris" w:cs="Times New Roman"/>
          <w:sz w:val="20"/>
          <w:szCs w:val="20"/>
          <w:lang w:eastAsia="ru-RU"/>
        </w:rPr>
      </w:pPr>
      <w:r w:rsidRPr="00143492">
        <w:rPr>
          <w:rFonts w:ascii="Futuris" w:eastAsia="Tahoma" w:hAnsi="Futuris" w:cs="Times New Roman"/>
          <w:sz w:val="20"/>
          <w:szCs w:val="20"/>
          <w:lang w:eastAsia="ru-RU"/>
        </w:rPr>
        <w:t>нулю – с момента поступления денежных средств в счет их погашения в состав Активов;</w:t>
      </w:r>
    </w:p>
    <w:p w14:paraId="32BC0AD2" w14:textId="77777777" w:rsidR="00143492" w:rsidRPr="00143492" w:rsidRDefault="00143492" w:rsidP="00143492">
      <w:pPr>
        <w:numPr>
          <w:ilvl w:val="0"/>
          <w:numId w:val="2"/>
        </w:numPr>
        <w:tabs>
          <w:tab w:val="left" w:pos="557"/>
        </w:tabs>
        <w:spacing w:before="125" w:after="0" w:line="240" w:lineRule="exact"/>
        <w:ind w:left="557" w:hanging="131"/>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в случае неисполнения эмитентом обязательств по выплате суммы основного долга по облигации в течение 30 дней ее оценочная стоимость уменьшается на дату истечения указанного срока на 30 процентов, а в дальнейшем ежедневно уменьшается на величину, определяемую исходя из 30 процентов годовых;</w:t>
      </w:r>
    </w:p>
    <w:p w14:paraId="72F7EEE1" w14:textId="77777777" w:rsidR="00143492" w:rsidRPr="00143492" w:rsidRDefault="00143492" w:rsidP="00143492">
      <w:pPr>
        <w:numPr>
          <w:ilvl w:val="0"/>
          <w:numId w:val="2"/>
        </w:numPr>
        <w:tabs>
          <w:tab w:val="left" w:pos="557"/>
        </w:tabs>
        <w:spacing w:before="125" w:after="0" w:line="240" w:lineRule="exact"/>
        <w:ind w:left="557" w:hanging="131"/>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ценных бумаг признается равной нулю в случае опубликования в соответствии с федеральными законами и иными нормативными правовыми актами Российской Федерации сведений о признании эмитента банкротом или о применении к эмитенту процедур банкротства;</w:t>
      </w:r>
    </w:p>
    <w:p w14:paraId="2C9430B7" w14:textId="77777777" w:rsidR="00143492" w:rsidRPr="00143492" w:rsidRDefault="00143492" w:rsidP="00143492">
      <w:pPr>
        <w:numPr>
          <w:ilvl w:val="0"/>
          <w:numId w:val="2"/>
        </w:numPr>
        <w:tabs>
          <w:tab w:val="left" w:pos="557"/>
        </w:tabs>
        <w:spacing w:before="125" w:after="0" w:line="240" w:lineRule="exact"/>
        <w:ind w:left="557" w:hanging="131"/>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иных ценных бумаг признается равной их последней рыночной цене, а если с момента их приобретения они не имели рыночной цены, оценочная стоимость этих ценных бумаг признается равной цене лучшей заявки на покупку этих ценных бумаг, раскрываемой информационной системой RTS Board на дату определения оценочной стоимости ценных бумаг или ближайшей к ней дате.</w:t>
      </w:r>
    </w:p>
    <w:p w14:paraId="4C1DA370" w14:textId="77777777" w:rsidR="00143492" w:rsidRPr="00143492" w:rsidRDefault="00143492" w:rsidP="00143492">
      <w:pPr>
        <w:numPr>
          <w:ilvl w:val="0"/>
          <w:numId w:val="2"/>
        </w:numPr>
        <w:tabs>
          <w:tab w:val="left" w:pos="557"/>
        </w:tabs>
        <w:spacing w:before="125" w:after="0" w:line="240" w:lineRule="exact"/>
        <w:ind w:left="557" w:hanging="131"/>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в случае невозможности определить оценочную стоимость ценных бумаг в соответствии с пунктом 6.5 оценочная стоимость ценных бумаг признается равной цене приобретения этих ценных бумаг, рассчитанной по методу оценки по средней стоимости (без учета расходов, связанных с их приобретением), т.е. путем деления стоимости приобретения ценных бумаг на их количество, складывающихся, соответственно, из стоимости приобретения и количества ценных бумаг по их остатку на предыдущий момент определения стоимости активов и по ценным бумагам, поступившим в период между предшествующим и текущим моментами определения стоимости активов.</w:t>
      </w:r>
    </w:p>
    <w:p w14:paraId="2813DA0E" w14:textId="77777777" w:rsidR="00143492" w:rsidRPr="00143492" w:rsidRDefault="00143492" w:rsidP="00143492">
      <w:pPr>
        <w:numPr>
          <w:ilvl w:val="0"/>
          <w:numId w:val="4"/>
        </w:numPr>
        <w:tabs>
          <w:tab w:val="left" w:pos="422"/>
        </w:tabs>
        <w:spacing w:before="120" w:after="0" w:line="240" w:lineRule="exact"/>
        <w:ind w:left="422"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lastRenderedPageBreak/>
        <w:t>В случае, если на момент осуществления оценки ценной бумаги, находящейся в доверительном управлении, информация о ее рыночных ценах раскрывается несколькими организаторами торговли, Управляющий производит денежную оценку такой ценной бумаги по наименьшей из раскрываемых рыночных цен.</w:t>
      </w:r>
    </w:p>
    <w:p w14:paraId="1CA100D0" w14:textId="77777777" w:rsidR="00143492" w:rsidRPr="00143492" w:rsidRDefault="00D37247" w:rsidP="00143492">
      <w:pPr>
        <w:numPr>
          <w:ilvl w:val="0"/>
          <w:numId w:val="4"/>
        </w:numPr>
        <w:tabs>
          <w:tab w:val="left" w:pos="422"/>
        </w:tabs>
        <w:spacing w:before="120" w:after="0" w:line="240" w:lineRule="exact"/>
        <w:ind w:left="422" w:hanging="422"/>
        <w:jc w:val="both"/>
        <w:rPr>
          <w:rFonts w:ascii="Futuris" w:eastAsia="Tahoma" w:hAnsi="Futuris" w:cs="Times New Roman"/>
          <w:b/>
          <w:bCs/>
          <w:sz w:val="20"/>
          <w:szCs w:val="20"/>
          <w:lang w:eastAsia="ru-RU"/>
        </w:rPr>
      </w:pPr>
      <w:r w:rsidRPr="00D37247">
        <w:rPr>
          <w:rFonts w:ascii="Futuris" w:eastAsia="Tahoma" w:hAnsi="Futuris" w:cs="Times New Roman"/>
          <w:sz w:val="20"/>
          <w:szCs w:val="20"/>
          <w:lang w:eastAsia="ru-RU"/>
        </w:rPr>
        <w:t>Рыночная стоимость облигаций внешних облигационных займов Российской Федерации, ценных бумаг иностранных государств, ценных бумаг международных финансовых организаций</w:t>
      </w:r>
      <w:r>
        <w:rPr>
          <w:rFonts w:ascii="Futuris" w:eastAsia="Tahoma" w:hAnsi="Futuris" w:cs="Times New Roman"/>
          <w:sz w:val="20"/>
          <w:szCs w:val="20"/>
          <w:lang w:eastAsia="ru-RU"/>
        </w:rPr>
        <w:t xml:space="preserve"> </w:t>
      </w:r>
      <w:r w:rsidRPr="00D37247">
        <w:rPr>
          <w:rFonts w:ascii="Futuris" w:eastAsia="Tahoma" w:hAnsi="Futuris" w:cs="Times New Roman"/>
          <w:sz w:val="20"/>
          <w:szCs w:val="20"/>
          <w:lang w:eastAsia="ru-RU"/>
        </w:rPr>
        <w:t>признается равной средней цене закрытия рынка (Московская биржа), раскрываемой информационной системой «Московской биржи»</w:t>
      </w:r>
      <w:r w:rsidR="00143492" w:rsidRPr="00143492">
        <w:rPr>
          <w:rFonts w:ascii="Futuris" w:eastAsia="Tahoma" w:hAnsi="Futuris" w:cs="Times New Roman"/>
          <w:sz w:val="20"/>
          <w:szCs w:val="20"/>
        </w:rPr>
        <w:t>.</w:t>
      </w:r>
      <w:r w:rsidR="00143492" w:rsidRPr="00143492">
        <w:rPr>
          <w:rFonts w:ascii="Futuris" w:eastAsia="Tahoma" w:hAnsi="Futuris" w:cs="Times New Roman"/>
          <w:sz w:val="20"/>
          <w:szCs w:val="20"/>
          <w:lang w:eastAsia="ru-RU"/>
        </w:rPr>
        <w:t xml:space="preserve"> При отсутствии на дату определения оценочной стоимости указанных ценных бумаг информации о средней цене закрытия рынка оценочная стоимость указанных ценных бумаг признается равной последней средней цене закрытия рынка, а если с момента приобретения ценных бумаг средняя цена закрытия рынка не рассчитывалась, - цене приобретения указанных ценных бумаг, рассчитанной по методу оценки по средней стоимости (без учета расходов, связанных с их приобретением).</w:t>
      </w:r>
    </w:p>
    <w:p w14:paraId="67A8E81A" w14:textId="77777777" w:rsidR="00143492" w:rsidRPr="00143492" w:rsidRDefault="00143492" w:rsidP="00143492">
      <w:pPr>
        <w:numPr>
          <w:ilvl w:val="0"/>
          <w:numId w:val="4"/>
        </w:numPr>
        <w:tabs>
          <w:tab w:val="left" w:pos="422"/>
        </w:tabs>
        <w:spacing w:before="120" w:after="0" w:line="240" w:lineRule="exact"/>
        <w:ind w:left="422" w:right="5"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государственных ценных бумаг Российской Федерации и ценных бумаг иностранных государств, условия эмиссии и обращения которых не предусматривают возможности их обращения на вторичном рынке, признается равной цене их приобретения, рассчитанной по методу оценки по средней стоимости (без учета расходов, связанных с их приобретением).</w:t>
      </w:r>
    </w:p>
    <w:p w14:paraId="55DD24A8" w14:textId="77777777" w:rsidR="00143492" w:rsidRPr="00143492" w:rsidRDefault="00143492" w:rsidP="00143492">
      <w:pPr>
        <w:spacing w:before="120" w:after="0" w:line="240" w:lineRule="exact"/>
        <w:ind w:left="427"/>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В случае если доходом по государственным ценным бумагам Российской Федерации или ценным бумагам иностранных государств, условия эмиссии и обращения которых не предусматривают возможности их обращения на вторичном рынке, является дисконт, то есть разница между номинальной стоимостью ценной бумаги и ценой ее приобретения (без учета расходов на приобретение), или дисконт и процент (купон), оценочная стоимость таких ценных бумаг определяется исходя из условий их эмиссии, содержащихся в решении о выпуске (дополнительном выпуске) ценных бумаг, и подлежит перерасчету на дате определения стоимости Активов с учетом равномерного отнесения дисконтного дохода на оценочную стоимость таких ценных бумаг. До момента первого перерасчета такие ценные бумаги оцениваются по стоимости их приобретения (без учета расходов на приобретение).</w:t>
      </w:r>
    </w:p>
    <w:p w14:paraId="1FD41A7F" w14:textId="77777777" w:rsidR="00143492" w:rsidRPr="00143492" w:rsidRDefault="00143492" w:rsidP="00143492">
      <w:pPr>
        <w:numPr>
          <w:ilvl w:val="0"/>
          <w:numId w:val="4"/>
        </w:numPr>
        <w:tabs>
          <w:tab w:val="left" w:pos="422"/>
        </w:tabs>
        <w:spacing w:before="120" w:after="0" w:line="240" w:lineRule="exact"/>
        <w:ind w:left="422"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акций иностранных акционерных обществ и облигаций иностранных коммерческих организаций, прошедших процедуру листинга на иностранной фондовой бирже, признается равной цене закрытия рынка указанных ценных бумаг по итогам последнего торгового дня на указанной фондовой бирже перед датой определения их оценочной стоимости, а в случае, если указанные ценные бумаги прошли процедуру листинга на двух или более иностранных фондовых биржах, - по итогам последнего торгового дня на иностранной фондовой бирже, на торгах которой впервые была приобретена указанная ценная бумага.</w:t>
      </w:r>
    </w:p>
    <w:p w14:paraId="27094F55" w14:textId="77777777" w:rsidR="00143492" w:rsidRPr="00143492" w:rsidRDefault="00143492" w:rsidP="00143492">
      <w:pPr>
        <w:numPr>
          <w:ilvl w:val="0"/>
          <w:numId w:val="4"/>
        </w:numPr>
        <w:tabs>
          <w:tab w:val="left" w:pos="422"/>
        </w:tabs>
        <w:spacing w:before="120" w:after="0" w:line="240" w:lineRule="exact"/>
        <w:ind w:left="422" w:right="5"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инвестиционных паев паевых инвестиционных фондов, не допущенных к торгам российским организатором торговли на рынке ценных бумаг, признается равной их расчетной стоимости на дату определения оценочной стоимости, а если на эту дату расчетная стоимость инвестиционных паев не определялась, - на последнюю дату ее определения, предшествующую дате определения оценочной стоимости указанных инвестиционных паев.</w:t>
      </w:r>
    </w:p>
    <w:p w14:paraId="2B353783" w14:textId="77777777" w:rsidR="00143492" w:rsidRPr="00143492" w:rsidRDefault="00143492" w:rsidP="00143492">
      <w:pPr>
        <w:numPr>
          <w:ilvl w:val="0"/>
          <w:numId w:val="4"/>
        </w:numPr>
        <w:tabs>
          <w:tab w:val="left" w:pos="422"/>
        </w:tabs>
        <w:spacing w:before="120" w:after="0" w:line="240" w:lineRule="exact"/>
        <w:ind w:left="422" w:right="5" w:hanging="422"/>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акций дополнительного выпуска, включенных в состав Активов в результате размещения этих акций путем распределения среди акционеров или путем конвертации в них конвертируемых ценных бумаг, составлявших указанные Активы, признается равной оценочной стоимости акций выпуска, по отношению к которому такой выпуск является дополнительным.</w:t>
      </w:r>
    </w:p>
    <w:p w14:paraId="339F68F1" w14:textId="77777777" w:rsidR="00143492" w:rsidRPr="00143492" w:rsidRDefault="00143492" w:rsidP="00143492">
      <w:pPr>
        <w:spacing w:before="77" w:after="0" w:line="240" w:lineRule="exact"/>
        <w:ind w:left="40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акций дополнительного выпуска, включенных в состав Активов в результате конвертации в эти акции акций, составлявших указанные Активы, при  реорганизации  в форме присоединения, признается равной оценочной стоимости акций выпуска, по отношению к которому такой выпуск является дополнительным. Если такая рыночная цена не определена, рыночная стоимость акций дополнительного выпуска определяется исходя из последней определенной рыночной цены (средней цены) акции присоединенного общества, умноженной на коэффициент конвертации.</w:t>
      </w:r>
    </w:p>
    <w:p w14:paraId="0589C2EA" w14:textId="77777777" w:rsidR="00143492" w:rsidRPr="00143492" w:rsidRDefault="00143492" w:rsidP="00143492">
      <w:pPr>
        <w:spacing w:before="120" w:after="0" w:line="240" w:lineRule="exact"/>
        <w:ind w:left="40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облигаций дополнительного выпуска, включенных в состав Активов в результате размещения путем конвертации в них конвертируемых облигаций, составлявших указанные активы, признается равной оценочной стоимости облигаций выпуска, по отношению к которому такой выпуск является дополнительным. Если такая рыночная цена не определена, рыночная стоимость дополнительно размещенных облигаций определяется исходя из последней определенной рыночной цены (средней цены) конвертируемых облигаций.</w:t>
      </w:r>
    </w:p>
    <w:p w14:paraId="11074AED" w14:textId="77777777" w:rsidR="00143492" w:rsidRPr="00143492" w:rsidRDefault="00143492" w:rsidP="00143492">
      <w:pPr>
        <w:spacing w:after="0" w:line="240" w:lineRule="auto"/>
        <w:rPr>
          <w:rFonts w:ascii="Futuris" w:eastAsia="Tahoma" w:hAnsi="Futuris" w:cs="Times New Roman"/>
          <w:sz w:val="20"/>
          <w:szCs w:val="20"/>
          <w:lang w:eastAsia="ru-RU"/>
        </w:rPr>
      </w:pPr>
    </w:p>
    <w:p w14:paraId="5FD21740" w14:textId="77777777" w:rsidR="00143492" w:rsidRPr="00143492" w:rsidRDefault="00143492" w:rsidP="00143492">
      <w:pPr>
        <w:spacing w:after="0" w:line="240" w:lineRule="auto"/>
        <w:rPr>
          <w:rFonts w:ascii="Futuris" w:eastAsia="Tahoma" w:hAnsi="Futuris" w:cs="Times New Roman"/>
          <w:sz w:val="20"/>
          <w:szCs w:val="20"/>
          <w:lang w:eastAsia="ru-RU"/>
        </w:rPr>
      </w:pPr>
    </w:p>
    <w:p w14:paraId="19D2D216" w14:textId="77777777" w:rsidR="00143492" w:rsidRPr="00143492" w:rsidRDefault="00143492" w:rsidP="00143492">
      <w:pPr>
        <w:tabs>
          <w:tab w:val="left" w:pos="1485"/>
        </w:tabs>
        <w:spacing w:after="0" w:line="240" w:lineRule="auto"/>
        <w:rPr>
          <w:rFonts w:ascii="Futuris" w:eastAsia="Tahoma" w:hAnsi="Futuris" w:cs="Times New Roman"/>
          <w:sz w:val="20"/>
          <w:szCs w:val="20"/>
          <w:lang w:eastAsia="ru-RU"/>
        </w:rPr>
      </w:pPr>
      <w:r w:rsidRPr="00143492">
        <w:rPr>
          <w:rFonts w:ascii="Futuris" w:eastAsia="Tahoma" w:hAnsi="Futuris" w:cs="Times New Roman"/>
          <w:sz w:val="20"/>
          <w:szCs w:val="20"/>
          <w:lang w:eastAsia="ru-RU"/>
        </w:rPr>
        <w:tab/>
      </w:r>
    </w:p>
    <w:p w14:paraId="47D255AE" w14:textId="77777777" w:rsidR="00143492" w:rsidRPr="00143492" w:rsidRDefault="00143492" w:rsidP="00143492">
      <w:pPr>
        <w:numPr>
          <w:ilvl w:val="0"/>
          <w:numId w:val="5"/>
        </w:numPr>
        <w:tabs>
          <w:tab w:val="left" w:pos="408"/>
        </w:tabs>
        <w:spacing w:before="120" w:after="0" w:line="240" w:lineRule="exact"/>
        <w:ind w:left="408" w:hanging="408"/>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акций с большей (меньшей) номинальной стоимостью, включенных в состав Активов в результате конвертации в них акций, составлявших указанные активы, признается равной оценочной стоимости конвертированных в них акций.</w:t>
      </w:r>
    </w:p>
    <w:p w14:paraId="6B2DDD2F" w14:textId="77777777" w:rsidR="00143492" w:rsidRPr="00143492" w:rsidRDefault="00143492" w:rsidP="00143492">
      <w:pPr>
        <w:spacing w:before="120" w:after="0" w:line="240" w:lineRule="exact"/>
        <w:ind w:left="408"/>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акций той же категории (типа) с иными правами, включенных в состав Активов в результате конвертации в них акций, составлявших указанные активы, признается равной оценочной стоимости конвертированных акций.</w:t>
      </w:r>
    </w:p>
    <w:p w14:paraId="598B4045" w14:textId="77777777" w:rsidR="00143492" w:rsidRPr="00143492" w:rsidRDefault="00143492" w:rsidP="00143492">
      <w:pPr>
        <w:spacing w:before="125" w:after="0" w:line="240" w:lineRule="exact"/>
        <w:ind w:left="40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акций, включенных в состав Активов в результате конвертации при дроблении акций, составлявших указанные активы, признается равной оценочной стоимости конвертированных акций, деленной на коэффициент дробления.</w:t>
      </w:r>
    </w:p>
    <w:p w14:paraId="4E2D7BFF" w14:textId="77777777" w:rsidR="00143492" w:rsidRPr="00143492" w:rsidRDefault="00143492" w:rsidP="00143492">
      <w:pPr>
        <w:spacing w:before="125" w:after="0" w:line="240" w:lineRule="exact"/>
        <w:ind w:left="40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акций, включенных в состав Активов в результате конвертации при консолидации акций, составлявших указанные активы, признается равной оценочной стоимости конвертированных акций, умноженной на коэффициент консолидации.</w:t>
      </w:r>
    </w:p>
    <w:p w14:paraId="41FAB2D0" w14:textId="77777777" w:rsidR="00143492" w:rsidRPr="00143492" w:rsidRDefault="00143492" w:rsidP="00143492">
      <w:pPr>
        <w:spacing w:before="115" w:after="0" w:line="245" w:lineRule="exact"/>
        <w:ind w:left="418"/>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Положения настоящего пункта применяются до возникновения рыночной цены акций, в которые были конвертированы акции, составлявшие Активы.</w:t>
      </w:r>
    </w:p>
    <w:p w14:paraId="49AAB2D9" w14:textId="77777777" w:rsidR="00143492" w:rsidRPr="00143492" w:rsidRDefault="00143492" w:rsidP="00143492">
      <w:pPr>
        <w:numPr>
          <w:ilvl w:val="0"/>
          <w:numId w:val="5"/>
        </w:numPr>
        <w:tabs>
          <w:tab w:val="left" w:pos="408"/>
        </w:tabs>
        <w:spacing w:before="115" w:after="0" w:line="240" w:lineRule="exact"/>
        <w:ind w:left="408" w:right="5" w:hanging="408"/>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акций или облигаций нового выпуска, включенных в состав Активов в результате конвертации в них конвертируемых ценных бумаг, признается равной оценочной стоимости конвертированных ценных бумаг, деленной на количество акций (облигаций), в которое конвертирована одна конвертируемая ценная бумага.</w:t>
      </w:r>
    </w:p>
    <w:p w14:paraId="349C0E24" w14:textId="77777777" w:rsidR="00143492" w:rsidRPr="00143492" w:rsidRDefault="00143492" w:rsidP="00143492">
      <w:pPr>
        <w:spacing w:before="120" w:after="0" w:line="240" w:lineRule="exact"/>
        <w:ind w:left="418"/>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Положения настоящего пункта применяются до возникновения признаваемой котировки акций (облигаций), в которые были конвертированы конвертируемые ценные бумаги, составлявшие Активы.</w:t>
      </w:r>
    </w:p>
    <w:p w14:paraId="61D756B7" w14:textId="77777777" w:rsidR="00143492" w:rsidRPr="00143492" w:rsidRDefault="00143492" w:rsidP="00143492">
      <w:pPr>
        <w:numPr>
          <w:ilvl w:val="0"/>
          <w:numId w:val="5"/>
        </w:numPr>
        <w:tabs>
          <w:tab w:val="left" w:pos="408"/>
        </w:tabs>
        <w:spacing w:before="125" w:after="0" w:line="240" w:lineRule="exact"/>
        <w:ind w:left="408" w:right="10" w:hanging="408"/>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акций, включенных в состав Активов в результате конвертации в них акций, составлявших указанные активы, при реорганизации в форме слияния признается равной оценочной стоимости конвертированных ценных бумаг, умноженной на коэффициент конвертации.</w:t>
      </w:r>
    </w:p>
    <w:p w14:paraId="1D2689F1" w14:textId="77777777" w:rsidR="00143492" w:rsidRPr="00143492" w:rsidRDefault="00143492" w:rsidP="00143492">
      <w:pPr>
        <w:spacing w:before="125" w:after="0" w:line="240" w:lineRule="exact"/>
        <w:ind w:left="40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акций вновь созданного в результате реорганизации в форме разделения или выделения акционерного общества, включенных в состав Активов в результате конвертации в них акций, составлявших указанные Активы, признается равной оценочной стоимости конвертированных акций,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оценочная стоимость конвертированных акций,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14:paraId="6A86A5C2" w14:textId="77777777" w:rsidR="00143492" w:rsidRPr="00143492" w:rsidRDefault="00143492" w:rsidP="00143492">
      <w:pPr>
        <w:spacing w:before="125" w:after="0" w:line="240" w:lineRule="exact"/>
        <w:ind w:left="408"/>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акций вновь созданного в результате реорганизации в форме выделения акционерного общества, включенных в состав Активов в результате их распределения среди акционеров реорганизованного акционерного общества, признается равной нулю.</w:t>
      </w:r>
    </w:p>
    <w:p w14:paraId="4A92010E" w14:textId="77777777" w:rsidR="00143492" w:rsidRPr="00143492" w:rsidRDefault="00143492" w:rsidP="00143492">
      <w:pPr>
        <w:spacing w:before="125" w:after="0" w:line="240" w:lineRule="exact"/>
        <w:ind w:left="418"/>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облигаций нового выпуска, включенных в состав Активов в результате конвертации в них облигаций, составлявших указанные активы, при реорганизации эмитента таких облигаций признается равной оценочной стоимости конвертированных облигаций.</w:t>
      </w:r>
    </w:p>
    <w:p w14:paraId="5E3F6068" w14:textId="77777777" w:rsidR="00143492" w:rsidRPr="00143492" w:rsidRDefault="00143492" w:rsidP="00143492">
      <w:pPr>
        <w:spacing w:before="77" w:after="0" w:line="240" w:lineRule="exact"/>
        <w:ind w:left="418"/>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вкладов участников общества с ограниченной ответственностью, паев членов производственного кооператива, включенных в состав Активов в результате обмена на них составлявших указанные Активы акций акционерного общества, реорганизованного в форме преобразования в общество с ограниченной ответственностью или производственный кооператив, признается равной оценочной стоимости указанных акций с учетом условий обмена.</w:t>
      </w:r>
    </w:p>
    <w:p w14:paraId="40626C51" w14:textId="77777777" w:rsidR="00143492" w:rsidRPr="00143492" w:rsidRDefault="00143492" w:rsidP="00143492">
      <w:pPr>
        <w:spacing w:before="125" w:after="0" w:line="240" w:lineRule="exact"/>
        <w:ind w:left="427"/>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Положения абзацев первого, второго и четвертого настоящего пункта применяются до возникновения признаваемой котировки акций (облигаций), включенных в состав Активов.</w:t>
      </w:r>
    </w:p>
    <w:p w14:paraId="1AE246E8" w14:textId="77777777" w:rsidR="00143492" w:rsidRPr="00143492" w:rsidRDefault="00143492" w:rsidP="00143492">
      <w:pPr>
        <w:spacing w:before="120" w:after="0" w:line="240" w:lineRule="exact"/>
        <w:ind w:left="41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Положения абзаца третьего настоящего пункта применяются до возникновения рыночной цены акций или до проведения их оценки оценщиком.</w:t>
      </w:r>
    </w:p>
    <w:p w14:paraId="75C6DFD6" w14:textId="77777777" w:rsidR="00143492" w:rsidRPr="00143492" w:rsidRDefault="00143492" w:rsidP="00143492">
      <w:pPr>
        <w:numPr>
          <w:ilvl w:val="0"/>
          <w:numId w:val="6"/>
        </w:numPr>
        <w:tabs>
          <w:tab w:val="left" w:pos="413"/>
        </w:tabs>
        <w:spacing w:before="125" w:after="0" w:line="240" w:lineRule="exact"/>
        <w:ind w:left="413" w:right="14" w:hanging="413"/>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В расчет стоимости Активов, если иное не предусмотрено настоящей Методикой, принимается также дебиторская задолженность, возникшая в результате совершения сделок с Активами.</w:t>
      </w:r>
    </w:p>
    <w:p w14:paraId="6985FF5D" w14:textId="77777777" w:rsidR="00143492" w:rsidRPr="00143492" w:rsidRDefault="00143492" w:rsidP="00143492">
      <w:pPr>
        <w:spacing w:before="120" w:after="0" w:line="240" w:lineRule="exact"/>
        <w:ind w:left="41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 xml:space="preserve">Дебиторская задолженность по процентному (купонному) доходу по составляющим Активы денежным средствам на счетах и во вкладах и ценным бумагам принимается в расчет стоимости активов в сумме, </w:t>
      </w:r>
      <w:r w:rsidRPr="00143492">
        <w:rPr>
          <w:rFonts w:ascii="Futuris" w:eastAsia="Tahoma" w:hAnsi="Futuris" w:cs="Times New Roman"/>
          <w:sz w:val="20"/>
          <w:szCs w:val="20"/>
          <w:lang w:eastAsia="ru-RU"/>
        </w:rPr>
        <w:lastRenderedPageBreak/>
        <w:t>исчисленной исходя из ставки процента (купонного дохода), установленной в договоре банковского счета, договоре банковского вклада или решении о выпуске (о дополнительном выпуске) эмиссионных ценных бумаг.</w:t>
      </w:r>
    </w:p>
    <w:p w14:paraId="54A27EE8" w14:textId="77777777" w:rsidR="00143492" w:rsidRPr="00143492" w:rsidRDefault="00143492" w:rsidP="00143492">
      <w:pPr>
        <w:spacing w:before="120" w:after="0" w:line="240" w:lineRule="exact"/>
        <w:ind w:left="418"/>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В случае, если дебиторская задолженность, возникшая в результате совершения сделок с Активами, не погашена по истечении 6 месяцев с даты, когда она должна быть погашена в соответствии с условиями сделок, сумма этой задолженности уменьшается для целей определения стоимости чистых активов на 30 процентов на дату истечения указанного 6-месячного срока, а в дальнейшем ежедневно уменьшается на величину, определяемую исходя из 30 процентов годовых.</w:t>
      </w:r>
    </w:p>
    <w:p w14:paraId="78EB683D" w14:textId="77777777" w:rsidR="00143492" w:rsidRPr="00143492" w:rsidRDefault="00143492" w:rsidP="00143492">
      <w:pPr>
        <w:spacing w:before="115" w:after="0" w:line="245" w:lineRule="exact"/>
        <w:ind w:left="427"/>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Дебиторская задолженность признается равной нулю (погашается) в момент исполнения сделок, в результате совершения которых она возникла.</w:t>
      </w:r>
    </w:p>
    <w:p w14:paraId="7A0AE3D1" w14:textId="77777777" w:rsidR="00143492" w:rsidRPr="00143492" w:rsidRDefault="00143492" w:rsidP="00143492">
      <w:pPr>
        <w:numPr>
          <w:ilvl w:val="0"/>
          <w:numId w:val="6"/>
        </w:numPr>
        <w:tabs>
          <w:tab w:val="left" w:pos="413"/>
        </w:tabs>
        <w:spacing w:before="139" w:after="0" w:line="240" w:lineRule="auto"/>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Иные составляющие Активы права требования принимаются в расчет в следующей сумме:</w:t>
      </w:r>
    </w:p>
    <w:p w14:paraId="0ED2CC47" w14:textId="77777777" w:rsidR="00143492" w:rsidRPr="00143492" w:rsidRDefault="00143492" w:rsidP="00143492">
      <w:pPr>
        <w:numPr>
          <w:ilvl w:val="0"/>
          <w:numId w:val="7"/>
        </w:numPr>
        <w:spacing w:before="125" w:after="0" w:line="240" w:lineRule="exact"/>
        <w:ind w:left="567" w:hanging="141"/>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права требования по перечислению в состав Активов денежных средств (передаче наличных денег) - в сумме причитающихся к перечислению (передаче) денежных средств (наличных денег) согласно условиям соответствующего обязательства;</w:t>
      </w:r>
    </w:p>
    <w:p w14:paraId="47F3834E" w14:textId="77777777" w:rsidR="00143492" w:rsidRPr="00143492" w:rsidRDefault="00143492" w:rsidP="00143492">
      <w:pPr>
        <w:numPr>
          <w:ilvl w:val="0"/>
          <w:numId w:val="7"/>
        </w:numPr>
        <w:spacing w:before="125" w:after="0" w:line="240" w:lineRule="exact"/>
        <w:ind w:left="567" w:hanging="141"/>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права требования по передаче в состав Активов имущества и/или имущественных прав - в сумме оценочной стоимости Активов, переданных в счет исполнения оцениваемого права требования (по оценочной стоимости на дату передачи таких Активов (их части)). Оценочная стоимость права требования (дебиторской задолженности) признается равной нулю в момент надлежащего исполнения соответствующего права требования.</w:t>
      </w:r>
    </w:p>
    <w:p w14:paraId="64011410" w14:textId="77777777" w:rsidR="00143492" w:rsidRPr="00143492" w:rsidRDefault="00143492" w:rsidP="00143492">
      <w:pPr>
        <w:numPr>
          <w:ilvl w:val="0"/>
          <w:numId w:val="8"/>
        </w:numPr>
        <w:tabs>
          <w:tab w:val="left" w:pos="413"/>
        </w:tabs>
        <w:spacing w:before="120" w:after="0" w:line="240" w:lineRule="exact"/>
        <w:ind w:left="413" w:hanging="413"/>
        <w:jc w:val="both"/>
        <w:rPr>
          <w:rFonts w:ascii="Futuris" w:eastAsia="Tahoma" w:hAnsi="Futuris" w:cs="Times New Roman"/>
          <w:b/>
          <w:bCs/>
          <w:sz w:val="20"/>
          <w:szCs w:val="20"/>
          <w:lang w:eastAsia="ru-RU"/>
        </w:rPr>
      </w:pPr>
      <w:r w:rsidRPr="00143492">
        <w:rPr>
          <w:rFonts w:ascii="Futuris" w:eastAsia="Tahoma" w:hAnsi="Futuris" w:cs="Times New Roman"/>
          <w:sz w:val="20"/>
          <w:szCs w:val="20"/>
          <w:lang w:eastAsia="ru-RU"/>
        </w:rPr>
        <w:t>Оценочная стоимость обязательств (включая обязательства по несению или возмещению необходимых расходов), подлежащих исполнению за счет составляющих Активы имущества (имущественных прав), признается равной:</w:t>
      </w:r>
    </w:p>
    <w:p w14:paraId="186B83A7" w14:textId="77777777" w:rsidR="00143492" w:rsidRPr="00143492" w:rsidRDefault="00143492" w:rsidP="00143492">
      <w:pPr>
        <w:numPr>
          <w:ilvl w:val="0"/>
          <w:numId w:val="9"/>
        </w:numPr>
        <w:tabs>
          <w:tab w:val="left" w:pos="696"/>
        </w:tabs>
        <w:spacing w:before="125" w:after="0" w:line="240" w:lineRule="exact"/>
        <w:ind w:left="696" w:hanging="274"/>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обязательствам по перечислению денежных средств (передаче наличных денег) - в сумме причитающихся к перечислению (передаче) денежных средств (наличных денег) согласно условиям соответствующего обязательства;</w:t>
      </w:r>
    </w:p>
    <w:p w14:paraId="6FA66F56" w14:textId="77777777" w:rsidR="00143492" w:rsidRPr="00143492" w:rsidRDefault="00143492" w:rsidP="00143492">
      <w:pPr>
        <w:numPr>
          <w:ilvl w:val="0"/>
          <w:numId w:val="9"/>
        </w:numPr>
        <w:tabs>
          <w:tab w:val="left" w:pos="696"/>
        </w:tabs>
        <w:spacing w:before="120" w:after="0" w:line="240" w:lineRule="exact"/>
        <w:ind w:left="696" w:hanging="274"/>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обязательствам по передаче имущества и/или имущественных прав - в сумме оценочной стоимости Активов, полученных Управляющим в счет исполнения такого обязательства, определяемой на дату определения оценочной стоимости Активов.</w:t>
      </w:r>
    </w:p>
    <w:p w14:paraId="5F0A35FE" w14:textId="77777777" w:rsidR="00143492" w:rsidRPr="00143492" w:rsidRDefault="00143492" w:rsidP="00143492">
      <w:pPr>
        <w:spacing w:before="120" w:after="0" w:line="240" w:lineRule="exact"/>
        <w:ind w:left="40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Стоимость чистых Активов определяется как разница между рыночной стоимостью Активов и обязательствами в составе кредиторской задолженности, подлежащими исполнению за счет Активов, составляющих инвестиционный портфель.</w:t>
      </w:r>
    </w:p>
    <w:p w14:paraId="25C645F0" w14:textId="77777777" w:rsidR="00143492" w:rsidRPr="00143492" w:rsidRDefault="00143492" w:rsidP="00143492">
      <w:pPr>
        <w:spacing w:before="120" w:after="0" w:line="240" w:lineRule="exact"/>
        <w:ind w:left="40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Оценочная стоимость Активов, выраженных в Иностранной валюте, оценивается в Валюте РФ по официальному курсу этой Иностранной валюты к Валюте РФ, устанавливаемому Центральным банком Российской Федерации на дату такой оценки.</w:t>
      </w:r>
    </w:p>
    <w:p w14:paraId="4275DAE9" w14:textId="77777777" w:rsidR="00143492" w:rsidRPr="00143492" w:rsidRDefault="00143492" w:rsidP="00143492">
      <w:pPr>
        <w:numPr>
          <w:ilvl w:val="0"/>
          <w:numId w:val="8"/>
        </w:numPr>
        <w:tabs>
          <w:tab w:val="left" w:pos="413"/>
        </w:tabs>
        <w:spacing w:before="120" w:after="0" w:line="240" w:lineRule="exact"/>
        <w:ind w:left="413" w:hanging="41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Оценка депозитов в кредитных организациях осуществляется исходя из сумм денежных средств, размещенных в депозиты, и сумм начисленных, но не выплаченных процентов.</w:t>
      </w:r>
    </w:p>
    <w:p w14:paraId="3E5BE480" w14:textId="77777777" w:rsidR="00143492" w:rsidRPr="00143492" w:rsidRDefault="00143492" w:rsidP="00143492">
      <w:pPr>
        <w:numPr>
          <w:ilvl w:val="0"/>
          <w:numId w:val="8"/>
        </w:numPr>
        <w:tabs>
          <w:tab w:val="left" w:pos="413"/>
        </w:tabs>
        <w:spacing w:before="120" w:after="0" w:line="240" w:lineRule="exact"/>
        <w:ind w:left="413" w:hanging="413"/>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Не принимаются в расчет стоимости Активов:</w:t>
      </w:r>
    </w:p>
    <w:p w14:paraId="6659E3C1" w14:textId="77777777" w:rsidR="00143492" w:rsidRPr="00143492" w:rsidRDefault="00143492" w:rsidP="00143492">
      <w:pPr>
        <w:tabs>
          <w:tab w:val="left" w:pos="509"/>
        </w:tabs>
        <w:spacing w:before="125" w:after="0" w:line="240" w:lineRule="exact"/>
        <w:ind w:left="509" w:right="5"/>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 начисленный процентный (купонный) доход по ценным бумагам, составляющим Активы, в случае если указанный доход включен в оценочную стоимость таких ценных бумаг, а также в случае 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 или сведений о применении к эмитенту процедур банкротства;</w:t>
      </w:r>
    </w:p>
    <w:p w14:paraId="21835A7A" w14:textId="77777777" w:rsidR="00143492" w:rsidRPr="00143492" w:rsidRDefault="00143492" w:rsidP="00143492">
      <w:pPr>
        <w:tabs>
          <w:tab w:val="left" w:pos="509"/>
        </w:tabs>
        <w:spacing w:before="149" w:after="0" w:line="240" w:lineRule="auto"/>
        <w:rPr>
          <w:rFonts w:ascii="Futuris" w:eastAsia="Tahoma" w:hAnsi="Futuris" w:cs="Times New Roman"/>
          <w:sz w:val="20"/>
          <w:szCs w:val="20"/>
          <w:lang w:eastAsia="ru-RU"/>
        </w:rPr>
      </w:pPr>
      <w:r w:rsidRPr="00143492">
        <w:rPr>
          <w:rFonts w:ascii="Futuris" w:eastAsia="Tahoma" w:hAnsi="Futuris" w:cs="Times New Roman"/>
          <w:sz w:val="20"/>
          <w:szCs w:val="20"/>
          <w:lang w:eastAsia="ru-RU"/>
        </w:rPr>
        <w:t xml:space="preserve">       - объявленные, но не полученные дивиденды по акциям, составляющим Активы;</w:t>
      </w:r>
    </w:p>
    <w:p w14:paraId="4732BB5C" w14:textId="77777777" w:rsidR="00143492" w:rsidRPr="00143492" w:rsidRDefault="00143492" w:rsidP="00143492">
      <w:pPr>
        <w:tabs>
          <w:tab w:val="left" w:pos="509"/>
        </w:tabs>
        <w:spacing w:before="125" w:after="0" w:line="240" w:lineRule="exact"/>
        <w:ind w:left="509"/>
        <w:jc w:val="both"/>
        <w:rPr>
          <w:rFonts w:ascii="Futuris" w:eastAsia="Tahoma" w:hAnsi="Futuris" w:cs="Times New Roman"/>
          <w:sz w:val="20"/>
          <w:szCs w:val="20"/>
          <w:lang w:eastAsia="ru-RU"/>
        </w:rPr>
      </w:pPr>
      <w:r w:rsidRPr="00143492">
        <w:rPr>
          <w:rFonts w:ascii="Futuris" w:eastAsia="Tahoma" w:hAnsi="Futuris" w:cs="Times New Roman"/>
          <w:sz w:val="20"/>
          <w:szCs w:val="20"/>
          <w:lang w:eastAsia="ru-RU"/>
        </w:rPr>
        <w:t>- начисленные, но не полученные доходы по инвестиционным паям закрытых паевых инвестиционных фондов, составляющим Активы;</w:t>
      </w:r>
    </w:p>
    <w:p w14:paraId="004A8561" w14:textId="77777777" w:rsidR="00143492" w:rsidRPr="00143492" w:rsidRDefault="00143492" w:rsidP="00143492">
      <w:pPr>
        <w:spacing w:before="120" w:after="0" w:line="240" w:lineRule="exact"/>
        <w:ind w:left="567" w:hanging="567"/>
        <w:jc w:val="both"/>
        <w:rPr>
          <w:rFonts w:ascii="Futuris" w:eastAsia="Tahoma" w:hAnsi="Futuris" w:cs="Times New Roman"/>
          <w:sz w:val="20"/>
          <w:szCs w:val="20"/>
          <w:lang w:eastAsia="ru-RU"/>
        </w:rPr>
      </w:pPr>
      <w:r w:rsidRPr="00143492">
        <w:rPr>
          <w:rFonts w:ascii="Futuris" w:eastAsia="Times New Roman" w:hAnsi="Futuris" w:cs="Times New Roman"/>
          <w:sz w:val="20"/>
          <w:szCs w:val="20"/>
          <w:lang w:eastAsia="ru-RU"/>
        </w:rPr>
        <w:t xml:space="preserve">       - зачисленные, но не полученные платежи по обязательствам (выплаты по ипотечным сертификатам участия), требования по которым (которые) составляют ипотечное покрытие, долю в праве </w:t>
      </w:r>
      <w:proofErr w:type="gramStart"/>
      <w:r w:rsidRPr="00143492">
        <w:rPr>
          <w:rFonts w:ascii="Futuris" w:eastAsia="Times New Roman" w:hAnsi="Futuris" w:cs="Times New Roman"/>
          <w:sz w:val="20"/>
          <w:szCs w:val="20"/>
          <w:lang w:eastAsia="ru-RU"/>
        </w:rPr>
        <w:t>общей собственности</w:t>
      </w:r>
      <w:proofErr w:type="gramEnd"/>
      <w:r w:rsidRPr="00143492">
        <w:rPr>
          <w:rFonts w:ascii="Futuris" w:eastAsia="Times New Roman" w:hAnsi="Futuris" w:cs="Times New Roman"/>
          <w:sz w:val="20"/>
          <w:szCs w:val="20"/>
          <w:lang w:eastAsia="ru-RU"/>
        </w:rPr>
        <w:t xml:space="preserve"> на которое удостоверяют ипотечные сертификаты участия, составляющие Активы.</w:t>
      </w:r>
    </w:p>
    <w:p w14:paraId="45EB7C41" w14:textId="77777777" w:rsidR="00143492" w:rsidRPr="00143492" w:rsidRDefault="00143492" w:rsidP="00143492">
      <w:pPr>
        <w:spacing w:before="125" w:after="0" w:line="240" w:lineRule="exact"/>
        <w:ind w:left="437"/>
        <w:jc w:val="both"/>
        <w:rPr>
          <w:rFonts w:ascii="Futuris" w:eastAsia="Tahoma" w:hAnsi="Futuris" w:cs="Times New Roman"/>
          <w:sz w:val="20"/>
          <w:szCs w:val="20"/>
          <w:lang w:eastAsia="ru-RU"/>
        </w:rPr>
      </w:pPr>
    </w:p>
    <w:p w14:paraId="760AB549" w14:textId="77777777" w:rsidR="00143492" w:rsidRPr="00143492" w:rsidRDefault="00143492" w:rsidP="00143492">
      <w:pPr>
        <w:spacing w:after="0" w:line="240" w:lineRule="auto"/>
        <w:ind w:right="15"/>
        <w:jc w:val="both"/>
        <w:rPr>
          <w:rFonts w:ascii="Futuris" w:eastAsia="Times New Roman" w:hAnsi="Futuris" w:cs="Times New Roman"/>
          <w:sz w:val="20"/>
          <w:szCs w:val="20"/>
          <w:lang w:eastAsia="ru-RU"/>
        </w:rPr>
      </w:pPr>
    </w:p>
    <w:p w14:paraId="13D99A6C" w14:textId="77777777" w:rsidR="00143492" w:rsidRPr="00143492" w:rsidRDefault="00143492" w:rsidP="00143492">
      <w:pPr>
        <w:spacing w:after="0" w:line="240" w:lineRule="auto"/>
        <w:rPr>
          <w:rFonts w:ascii="Futuris" w:eastAsia="Times New Roman" w:hAnsi="Futuris" w:cs="Times New Roman"/>
          <w:sz w:val="20"/>
          <w:szCs w:val="20"/>
          <w:lang w:eastAsia="ru-RU"/>
        </w:rPr>
      </w:pPr>
    </w:p>
    <w:sectPr w:rsidR="00143492" w:rsidRPr="001434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C4CAC" w14:textId="77777777" w:rsidR="005C39C1" w:rsidRDefault="005C39C1" w:rsidP="00143492">
      <w:pPr>
        <w:spacing w:after="0" w:line="240" w:lineRule="auto"/>
      </w:pPr>
      <w:r>
        <w:separator/>
      </w:r>
    </w:p>
  </w:endnote>
  <w:endnote w:type="continuationSeparator" w:id="0">
    <w:p w14:paraId="1739E55D" w14:textId="77777777" w:rsidR="005C39C1" w:rsidRDefault="005C39C1" w:rsidP="00143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CTT">
    <w:altName w:val="Arial"/>
    <w:panose1 w:val="00000000000000000000"/>
    <w:charset w:val="02"/>
    <w:family w:val="auto"/>
    <w:notTrueType/>
    <w:pitch w:val="variable"/>
  </w:font>
  <w:font w:name="Futuris">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C5D2C" w14:textId="77777777" w:rsidR="005C39C1" w:rsidRDefault="005C39C1" w:rsidP="00143492">
      <w:pPr>
        <w:spacing w:after="0" w:line="240" w:lineRule="auto"/>
      </w:pPr>
      <w:r>
        <w:separator/>
      </w:r>
    </w:p>
  </w:footnote>
  <w:footnote w:type="continuationSeparator" w:id="0">
    <w:p w14:paraId="3701CBF4" w14:textId="77777777" w:rsidR="005C39C1" w:rsidRDefault="005C39C1" w:rsidP="00143492">
      <w:pPr>
        <w:spacing w:after="0" w:line="240" w:lineRule="auto"/>
      </w:pPr>
      <w:r>
        <w:continuationSeparator/>
      </w:r>
    </w:p>
  </w:footnote>
  <w:footnote w:id="1">
    <w:p w14:paraId="70F1BD5A" w14:textId="77777777" w:rsidR="00143492" w:rsidRDefault="00143492" w:rsidP="00143492">
      <w:pPr>
        <w:pStyle w:val="a3"/>
        <w:rPr>
          <w:rFonts w:ascii="Futuris" w:hAnsi="Futuris"/>
          <w:sz w:val="14"/>
          <w:szCs w:val="14"/>
        </w:rPr>
      </w:pPr>
      <w:r>
        <w:rPr>
          <w:rStyle w:val="a5"/>
          <w:rFonts w:ascii="Futuris" w:hAnsi="Futuris"/>
          <w:sz w:val="14"/>
          <w:szCs w:val="14"/>
        </w:rPr>
        <w:footnoteRef/>
      </w:r>
      <w:r>
        <w:rPr>
          <w:rFonts w:ascii="Futuris" w:hAnsi="Futuris"/>
          <w:sz w:val="14"/>
          <w:szCs w:val="14"/>
        </w:rPr>
        <w:t xml:space="preserve"> Рыночная цена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66D23"/>
    <w:multiLevelType w:val="singleLevel"/>
    <w:tmpl w:val="4EA0D194"/>
    <w:lvl w:ilvl="0">
      <w:start w:val="1"/>
      <w:numFmt w:val="decimal"/>
      <w:lvlText w:val="%1."/>
      <w:lvlJc w:val="left"/>
      <w:pPr>
        <w:ind w:left="0" w:firstLine="0"/>
      </w:pPr>
    </w:lvl>
  </w:abstractNum>
  <w:abstractNum w:abstractNumId="1" w15:restartNumberingAfterBreak="0">
    <w:nsid w:val="165E599B"/>
    <w:multiLevelType w:val="singleLevel"/>
    <w:tmpl w:val="CBCE3CEE"/>
    <w:lvl w:ilvl="0">
      <w:start w:val="13"/>
      <w:numFmt w:val="decimal"/>
      <w:lvlText w:val="%1."/>
      <w:lvlJc w:val="left"/>
      <w:pPr>
        <w:ind w:left="0" w:firstLine="0"/>
      </w:pPr>
    </w:lvl>
  </w:abstractNum>
  <w:abstractNum w:abstractNumId="2" w15:restartNumberingAfterBreak="0">
    <w:nsid w:val="313043C0"/>
    <w:multiLevelType w:val="singleLevel"/>
    <w:tmpl w:val="22488A7E"/>
    <w:lvl w:ilvl="0">
      <w:start w:val="18"/>
      <w:numFmt w:val="decimal"/>
      <w:lvlText w:val="%1."/>
      <w:lvlJc w:val="left"/>
      <w:pPr>
        <w:ind w:left="0" w:firstLine="0"/>
      </w:pPr>
      <w:rPr>
        <w:b/>
      </w:rPr>
    </w:lvl>
  </w:abstractNum>
  <w:abstractNum w:abstractNumId="3" w15:restartNumberingAfterBreak="0">
    <w:nsid w:val="317057AD"/>
    <w:multiLevelType w:val="singleLevel"/>
    <w:tmpl w:val="90A0C9BA"/>
    <w:lvl w:ilvl="0">
      <w:numFmt w:val="bullet"/>
      <w:lvlText w:val="•"/>
      <w:lvlJc w:val="left"/>
      <w:pPr>
        <w:ind w:left="0" w:firstLine="0"/>
      </w:pPr>
    </w:lvl>
  </w:abstractNum>
  <w:abstractNum w:abstractNumId="4" w15:restartNumberingAfterBreak="0">
    <w:nsid w:val="472E6CB4"/>
    <w:multiLevelType w:val="singleLevel"/>
    <w:tmpl w:val="09A08ECA"/>
    <w:lvl w:ilvl="0">
      <w:numFmt w:val="bullet"/>
      <w:lvlText w:val="•"/>
      <w:lvlJc w:val="left"/>
      <w:pPr>
        <w:ind w:left="0" w:firstLine="0"/>
      </w:pPr>
    </w:lvl>
  </w:abstractNum>
  <w:abstractNum w:abstractNumId="5" w15:restartNumberingAfterBreak="0">
    <w:nsid w:val="508249D3"/>
    <w:multiLevelType w:val="singleLevel"/>
    <w:tmpl w:val="C436051A"/>
    <w:lvl w:ilvl="0">
      <w:start w:val="7"/>
      <w:numFmt w:val="decimal"/>
      <w:lvlText w:val="%1."/>
      <w:lvlJc w:val="left"/>
      <w:pPr>
        <w:ind w:left="0" w:firstLine="0"/>
      </w:pPr>
    </w:lvl>
  </w:abstractNum>
  <w:abstractNum w:abstractNumId="6" w15:restartNumberingAfterBreak="0">
    <w:nsid w:val="569B3274"/>
    <w:multiLevelType w:val="singleLevel"/>
    <w:tmpl w:val="A0CAEED0"/>
    <w:lvl w:ilvl="0">
      <w:start w:val="1"/>
      <w:numFmt w:val="decimal"/>
      <w:lvlText w:val="6.%1."/>
      <w:lvlJc w:val="left"/>
      <w:pPr>
        <w:ind w:left="0" w:firstLine="0"/>
      </w:pPr>
    </w:lvl>
  </w:abstractNum>
  <w:abstractNum w:abstractNumId="7" w15:restartNumberingAfterBreak="0">
    <w:nsid w:val="75935FF6"/>
    <w:multiLevelType w:val="hybridMultilevel"/>
    <w:tmpl w:val="41FA8D7A"/>
    <w:lvl w:ilvl="0" w:tplc="0DBEA38E">
      <w:start w:val="1"/>
      <w:numFmt w:val="decimal"/>
      <w:lvlText w:val="17.%1."/>
      <w:lvlJc w:val="left"/>
      <w:pPr>
        <w:ind w:left="1560" w:firstLine="0"/>
      </w:pPr>
    </w:lvl>
    <w:lvl w:ilvl="1" w:tplc="04090019">
      <w:start w:val="1"/>
      <w:numFmt w:val="lowerLetter"/>
      <w:lvlText w:val="%2."/>
      <w:lvlJc w:val="left"/>
      <w:pPr>
        <w:ind w:left="3000" w:hanging="360"/>
      </w:pPr>
    </w:lvl>
    <w:lvl w:ilvl="2" w:tplc="0409001B">
      <w:start w:val="1"/>
      <w:numFmt w:val="lowerRoman"/>
      <w:lvlText w:val="%3."/>
      <w:lvlJc w:val="right"/>
      <w:pPr>
        <w:ind w:left="3720" w:hanging="180"/>
      </w:pPr>
    </w:lvl>
    <w:lvl w:ilvl="3" w:tplc="0409000F">
      <w:start w:val="1"/>
      <w:numFmt w:val="decimal"/>
      <w:lvlText w:val="%4."/>
      <w:lvlJc w:val="left"/>
      <w:pPr>
        <w:ind w:left="4440" w:hanging="360"/>
      </w:pPr>
    </w:lvl>
    <w:lvl w:ilvl="4" w:tplc="04090019">
      <w:start w:val="1"/>
      <w:numFmt w:val="lowerLetter"/>
      <w:lvlText w:val="%5."/>
      <w:lvlJc w:val="left"/>
      <w:pPr>
        <w:ind w:left="5160" w:hanging="360"/>
      </w:pPr>
    </w:lvl>
    <w:lvl w:ilvl="5" w:tplc="0409001B">
      <w:start w:val="1"/>
      <w:numFmt w:val="lowerRoman"/>
      <w:lvlText w:val="%6."/>
      <w:lvlJc w:val="right"/>
      <w:pPr>
        <w:ind w:left="5880" w:hanging="180"/>
      </w:pPr>
    </w:lvl>
    <w:lvl w:ilvl="6" w:tplc="0409000F">
      <w:start w:val="1"/>
      <w:numFmt w:val="decimal"/>
      <w:lvlText w:val="%7."/>
      <w:lvlJc w:val="left"/>
      <w:pPr>
        <w:ind w:left="6600" w:hanging="360"/>
      </w:pPr>
    </w:lvl>
    <w:lvl w:ilvl="7" w:tplc="04090019">
      <w:start w:val="1"/>
      <w:numFmt w:val="lowerLetter"/>
      <w:lvlText w:val="%8."/>
      <w:lvlJc w:val="left"/>
      <w:pPr>
        <w:ind w:left="7320" w:hanging="360"/>
      </w:pPr>
    </w:lvl>
    <w:lvl w:ilvl="8" w:tplc="0409001B">
      <w:start w:val="1"/>
      <w:numFmt w:val="lowerRoman"/>
      <w:lvlText w:val="%9."/>
      <w:lvlJc w:val="right"/>
      <w:pPr>
        <w:ind w:left="8040" w:hanging="180"/>
      </w:pPr>
    </w:lvl>
  </w:abstractNum>
  <w:abstractNum w:abstractNumId="8" w15:restartNumberingAfterBreak="0">
    <w:nsid w:val="78F80481"/>
    <w:multiLevelType w:val="singleLevel"/>
    <w:tmpl w:val="01A45186"/>
    <w:lvl w:ilvl="0">
      <w:start w:val="16"/>
      <w:numFmt w:val="decimal"/>
      <w:lvlText w:val="%1."/>
      <w:lvlJc w:val="left"/>
      <w:pPr>
        <w:ind w:left="0" w:firstLine="0"/>
      </w:pPr>
    </w:lvl>
  </w:abstractNum>
  <w:num w:numId="1">
    <w:abstractNumId w:val="0"/>
    <w:lvlOverride w:ilvl="0">
      <w:startOverride w:val="1"/>
    </w:lvlOverride>
  </w:num>
  <w:num w:numId="2">
    <w:abstractNumId w:val="6"/>
    <w:lvlOverride w:ilvl="0">
      <w:startOverride w:val="1"/>
    </w:lvlOverride>
  </w:num>
  <w:num w:numId="3">
    <w:abstractNumId w:val="3"/>
  </w:num>
  <w:num w:numId="4">
    <w:abstractNumId w:val="5"/>
    <w:lvlOverride w:ilvl="0">
      <w:startOverride w:val="7"/>
    </w:lvlOverride>
  </w:num>
  <w:num w:numId="5">
    <w:abstractNumId w:val="1"/>
    <w:lvlOverride w:ilvl="0">
      <w:startOverride w:val="13"/>
    </w:lvlOverride>
  </w:num>
  <w:num w:numId="6">
    <w:abstractNumId w:val="8"/>
    <w:lvlOverride w:ilvl="0">
      <w:startOverride w:val="16"/>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8"/>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7ED"/>
    <w:rsid w:val="00143492"/>
    <w:rsid w:val="005C39C1"/>
    <w:rsid w:val="006677ED"/>
    <w:rsid w:val="00C33505"/>
    <w:rsid w:val="00C741E5"/>
    <w:rsid w:val="00C85F80"/>
    <w:rsid w:val="00C92751"/>
    <w:rsid w:val="00D37247"/>
    <w:rsid w:val="00F42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A690E"/>
  <w15:docId w15:val="{F2D95574-D956-47BB-B5E9-1E6069B7A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143492"/>
    <w:pPr>
      <w:spacing w:after="0" w:line="240" w:lineRule="auto"/>
    </w:pPr>
    <w:rPr>
      <w:rFonts w:ascii="PragmaticaCTT" w:eastAsia="Times New Roman" w:hAnsi="PragmaticaCTT" w:cs="Times New Roman"/>
      <w:sz w:val="20"/>
      <w:szCs w:val="20"/>
      <w:lang w:eastAsia="ru-RU"/>
    </w:rPr>
  </w:style>
  <w:style w:type="character" w:customStyle="1" w:styleId="a4">
    <w:name w:val="Текст сноски Знак"/>
    <w:basedOn w:val="a0"/>
    <w:link w:val="a3"/>
    <w:semiHidden/>
    <w:rsid w:val="00143492"/>
    <w:rPr>
      <w:rFonts w:ascii="PragmaticaCTT" w:eastAsia="Times New Roman" w:hAnsi="PragmaticaCTT" w:cs="Times New Roman"/>
      <w:sz w:val="20"/>
      <w:szCs w:val="20"/>
      <w:lang w:eastAsia="ru-RU"/>
    </w:rPr>
  </w:style>
  <w:style w:type="character" w:styleId="a5">
    <w:name w:val="footnote reference"/>
    <w:basedOn w:val="a0"/>
    <w:semiHidden/>
    <w:unhideWhenUsed/>
    <w:rsid w:val="001434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2464</Words>
  <Characters>14048</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Фомина Ольга</dc:creator>
  <cp:lastModifiedBy>Фомина Ольга</cp:lastModifiedBy>
  <cp:revision>2</cp:revision>
  <dcterms:created xsi:type="dcterms:W3CDTF">2025-08-14T13:17:00Z</dcterms:created>
  <dcterms:modified xsi:type="dcterms:W3CDTF">2025-08-14T13:17:00Z</dcterms:modified>
</cp:coreProperties>
</file>